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Tee nr 4680156 Missok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ü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l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ä 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:lang w:val="da-DK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- V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iko-Tiilige 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(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:lang w:val="en-US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0,0-2,5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 km)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ja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 tee nr 25219 Tiilige-Ritsiko tee 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(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0,7-4,3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 xml:space="preserve"> km)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:lang w:val="it-IT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Tee nr. 25166 Missok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ü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l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-Laura tee (3,7-5,1 km) ja tee nr 25208 Siks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l</w:t>
            </w:r>
            <w:r>
              <w:rPr>
                <w:rFonts w:ascii="Times New Roman" w:hAnsi="Times New Roman" w:hint="default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ä</w:t>
            </w:r>
            <w:r>
              <w:rPr>
                <w:rFonts w:ascii="Times New Roman" w:hAnsi="Times New Roman"/>
                <w:outline w:val="0"/>
                <w:color w:val="1a1a1f"/>
                <w:shd w:val="clear" w:color="auto" w:fill="ffffff"/>
                <w:rtl w:val="0"/>
                <w14:textFill>
                  <w14:solidFill>
                    <w14:srgbClr w14:val="1B1B1F">
                      <w14:alpha w14:val="12941"/>
                    </w14:srgbClr>
                  </w14:solidFill>
                </w14:textFill>
              </w:rPr>
              <w:t>-Kiviora (1,4-3,4 km)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120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Prepwin Motorsport plaanib j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rgnevatel kuup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evadel ja teel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ikudel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bi viia </w:t>
            </w:r>
            <w:r>
              <w:rPr>
                <w:rFonts w:ascii="Times New Roman" w:hAnsi="Times New Roman"/>
                <w:rtl w:val="0"/>
                <w:lang w:val="en-US"/>
              </w:rPr>
              <w:t>v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rtl w:val="0"/>
                <w:lang w:val="en-US"/>
              </w:rPr>
              <w:t>ite</w:t>
            </w:r>
            <w:r>
              <w:rPr>
                <w:rFonts w:ascii="Times New Roman" w:hAnsi="Times New Roman"/>
                <w:rtl w:val="0"/>
                <w:lang w:val="en-US"/>
              </w:rPr>
              <w:t>: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- 12.07.2025 teel nr.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4680156 Missok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iko-Tiilige (0,0-2,5 km) ja tee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nr 25219 Tiilige-Ritsiko tee (0,7-4,3 km)</w:t>
            </w:r>
          </w:p>
          <w:p>
            <w:pPr>
              <w:pStyle w:val="xl2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13.07.2025 teel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nr. 25166 Missok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-Laura tee (3,7-5,1 km) ja nr 25208 Siks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-Kiviora (1,4-3,4 km)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eva pikkus on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lemil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eval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10:00-18:00.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324" w:hanging="324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